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BTGO 1980 — Wahlen mit verdeckten Stimmzetteln</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(1) Soweit in einem Bundesgesetz oder in dieser Geschäftsordnung Wahlen durch den Bundestag mit verdeckten (amtlichen) Stimmzetteln vorgeschrieben sind, findet die Wahl geheim statt. Die Stimmzettel dürfen erst vor Betreten der Wahlzelle (bei Namensaufruf) ausgehändigt werden. Die zur Gewährleistung einer geheimen Wahl aufzustellenden Wahlzellen sind bei der Stimmabgabe zu benutzen. Die gekennzeichneten Stimmzettel sind in einem Wahlumschlag in die dafür vorgesehenen Wahlurnen zu legen.</w:t>
      </w:r>
    </w:p>
    <w:p>
      <w:r>
        <w:t xml:space="preserve">(2) § 56 Abs. 6 Nr. 4 der Bundeswahlordnung gilt entsprechend.</w:t>
      </w:r>
    </w:p>
    <w:p>
      <w:r>
        <w:rPr>
          <w:color w:val="555555"/>
          <w:sz w:val="17"/>
        </w:rPr>
        <w:t xml:space="preserve">Zitiervorschlag: § 49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