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BTGO 1980 — Feststellung der BeschlußfähigkeitFolgen der Beschlußunfähigkeit</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Der Bundestag ist beschlußfähig, wenn mehr als die Hälfte seiner Mitglieder im Sitzungssaal anwesend ist.</w:t>
      </w:r>
    </w:p>
    <w:p>
      <w:r>
        <w:t xml:space="preserve">(2) Wird vor Beginn einer Abstimmung die Beschlußfähigkeit von einer Fraktion oder von anwesenden fünf vom Hundert der Mitglieder des Bundestages bezweifelt und auch vom Sitzungsvorstand nicht einmütig bejaht oder wird die Beschlußfähigkeit vom Sitzungsvorstand im Einvernehmen mit den Fraktionen bezweifelt, so ist in Verbindung mit der Abstimmung die Beschlußfähigkeit durch Zählung der Stimmen nach § 51, im Laufe einer Kernzeit-Debatte im Verfahren nach § 52 festzustellen. Der Präsident kann die Abstimmung auf kurze Zeit aussetzen.</w:t>
      </w:r>
    </w:p>
    <w:p>
      <w:r>
        <w:t xml:space="preserve">(3) Nach Feststellung der Beschlußunfähigkeit hebt der Präsident die Sitzung sofort auf. § 20 Abs. 5 findet Anwendung. Ein Verlangen auf namentliche Abstimmung bleibt dabei in Kraft. Stimmenthaltungen und ungültige Stimmen zählen bei der Feststellung der Beschlußfähigkeit mit.</w:t>
      </w:r>
    </w:p>
    <w:p>
      <w:r>
        <w:t xml:space="preserve">(4) Unabhängig von dem Verfahren nach den Absätzen 1 bis 3 kann der Präsident bei Kernzeit-Debatten im Einvernehmen mit den Fraktionen die Sitzung unterbrechen, wenn der Sitzungsvorstand bezweifelt, daß 25 vom Hundert der Mitglieder des Bundestages anwesend sind. Die Feststellung der Anwesenheit erfolgt im Verfahren nach § 52.</w:t>
      </w:r>
    </w:p>
    <w:p>
      <w:r>
        <w:rPr>
          <w:color w:val="555555"/>
          <w:sz w:val="17"/>
        </w:rPr>
        <w:t xml:space="preserve">Zitiervorschlag: § 45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