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BTGO 1980 — Einspruch gegen Ordnungsmaßnahmen</w:t>
      </w:r>
    </w:p>
    <w:p>
      <w:r>
        <w:rPr>
          <w:color w:val="555555"/>
          <w:sz w:val="18"/>
        </w:rPr>
        <w:t xml:space="preserve">Geschäftsordnung des Deutschen Bundestages</w:t>
      </w:r>
    </w:p>
    <w:p>
      <w:r>
        <w:rPr>
          <w:color w:val="555555"/>
          <w:sz w:val="18"/>
        </w:rPr>
        <w:t xml:space="preserve">Historische Fassung: Stand 10.06.2019 bis 01.11.2025. Dies ist nicht die aktuelle Fassung.</w:t>
      </w:r>
    </w:p>
    <w:p>
      <w:r>
        <w:t xml:space="preserve">Gegen den Ordnungsruf (§ 36), das Ordnungsgeld (§ 37) und den Sitzungsausschluss (§ 38) kann das betroffene Mitglied des Bundestages bis zum nächsten Plenarsitzungstag schriftlich begründeten Einspruch einlegen. Der Einspruch ist auf die Tagesordnung dieser Sitzung zu setzen. Der Bundestag entscheidet ohne Aussprache. Der Einspruch hat keine aufschiebende Wirkung.</w:t>
      </w:r>
    </w:p>
    <w:p>
      <w:r>
        <w:rPr>
          <w:color w:val="555555"/>
          <w:sz w:val="17"/>
        </w:rPr>
        <w:t xml:space="preserve">Zitiervorschlag: § 39 BTGO 1980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https://recht.nulegal.eu/gesetze/BTGO%201980/39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