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BTGO 1980 — Zur Geschäftsordnung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(1) Zu einem Geschäftsordnungsantrag erteilt der Präsident vorrangig das Wort. Der Antrag muß sich auf den zur Beratung stehenden Verhandlungsgegenstand oder auf die Tagesordnung beziehen.</w:t>
      </w:r>
    </w:p>
    <w:p>
      <w:r>
        <w:t xml:space="preserve">(2) Der Präsident kann die Worterteilung bei Geschäftsordnungsanträgen, denen entsprochen werden muß (Verlangen), auf den Antragsteller, bei anderen Anträgen auf einen Sprecher jeder Fraktion beschränken.</w:t>
      </w:r>
    </w:p>
    <w:p>
      <w:r>
        <w:t xml:space="preserve">(3) Meldet sich ein Mitglied des Bundestages zur Geschäftsordnung zum Wort, ohne zu einem Geschäftsordnungsantrag sprechen oder einen solchen stellen zu wollen, so erteilt der Präsident das Wort nach seinem Ermessen.</w:t>
      </w:r>
    </w:p>
    <w:p>
      <w:r>
        <w:t xml:space="preserve">(4) Zur Geschäftsordnung darf der einzelne Redner nicht länger als fünf Minuten sprechen.</w:t>
      </w:r>
    </w:p>
    <w:p>
      <w:r>
        <w:rPr>
          <w:color w:val="555555"/>
          <w:sz w:val="17"/>
        </w:rPr>
        <w:t xml:space="preserve">Zitiervorschlag: § 29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