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BTGO 1980 — Reihenfolge der Redner</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Der Präsident bestimmt die Reihenfolge der Redner. Dabei soll ihn die Sorge für sachgemäße Erledigung und zweckmäßige Gestaltung der Beratung, die Rücksicht auf die verschiedenen Parteirichtungen, auf Rede und Gegenrede und auf die Stärke der Fraktionen leiten; insbesondere soll nach der Rede eines Mitgliedes oder Beauftragten der Bundesregierung eine abweichende Meinung zu Wort kommen.</w:t>
      </w:r>
    </w:p>
    <w:p>
      <w:r>
        <w:t xml:space="preserve">(2) Der erste Redner in der Aussprache zu Vorlagen von Mitgliedern des Bundestages soll nicht der Fraktion des Antragstellers angehören. Antragsteller und Berichterstatter können vor Beginn und nach Schluß der Aussprache das Wort verlangen. Der Berichterstatter hat das Recht, jederzeit das Wort zu ergreifen.</w:t>
      </w:r>
    </w:p>
    <w:p>
      <w:r>
        <w:rPr>
          <w:color w:val="555555"/>
          <w:sz w:val="17"/>
        </w:rPr>
        <w:t xml:space="preserve">Zitiervorschlag: § 28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