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BTGO 1980 — Worterteilung und Wortmeldung</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Ein Mitglied des Bundestages darf nur sprechen, wenn ihm der Präsident das Wort erteilt hat. Will der Präsident selbst sich als Redner an der Aussprache beteiligen, so hat er während dieser Zeit den Vorsitz abzugeben. Mitglieder des Bundestages, die zur Sache sprechen wollen, haben sich in der Regel bei dem Schriftführer, der die Rednerliste führt, zum Wort zu melden. Zur Geschäftsordnung und zur Abgabe von Erklärungen können Wortmeldungen durch Zuruf erfolgen.</w:t>
      </w:r>
    </w:p>
    <w:p>
      <w:r>
        <w:t xml:space="preserve">(2) Für Zwischenfragen an den Redner und für Zwischenbemerkungen in der Aussprache über einen Verhandlungsgegenstand melden sich die Mitglieder des Bundestages über die Saalmikrofone zum Wort. Zwischenfragen und Zwischenbemerkungen, die kurz und präzise sein müssen, dürfen erst gestellt werden, wenn der Redner sie auf eine entsprechende Frage des Präsidenten zuläßt. Im Anschluß an einen Debattenbeitrag kann der Präsident das Wort zu einer Zwischenbemerkung von höchstens drei Minuten erteilen; der Redner darf hierauf noch einmal antworten.</w:t>
      </w:r>
    </w:p>
    <w:p>
      <w:r>
        <w:rPr>
          <w:color w:val="555555"/>
          <w:sz w:val="17"/>
        </w:rPr>
        <w:t xml:space="preserve">Zitiervorschlag: § 27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