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BTGO 1980 — Verbindung der Beratung</w:t>
      </w:r>
    </w:p>
    <w:p>
      <w:r>
        <w:rPr>
          <w:color w:val="555555"/>
          <w:sz w:val="18"/>
        </w:rPr>
        <w:t xml:space="preserve">Geschäftsordnung des Deutschen Bundestages</w:t>
      </w:r>
    </w:p>
    <w:p>
      <w:r>
        <w:rPr>
          <w:color w:val="555555"/>
          <w:sz w:val="18"/>
        </w:rPr>
        <w:t xml:space="preserve">Historische Fassung: Stand 10.06.2019 bis 01.11.2025. Dies ist nicht die aktuelle Fassung.</w:t>
      </w:r>
    </w:p>
    <w:p>
      <w:r>
        <w:t xml:space="preserve">Die gemeinsame Beratung gleichartiger oder im Sachzusammenhang stehender Verhandlungsgegenstände kann jederzeit beschlossen werden.</w:t>
      </w:r>
    </w:p>
    <w:p>
      <w:r>
        <w:rPr>
          <w:color w:val="555555"/>
          <w:sz w:val="17"/>
        </w:rPr>
        <w:t xml:space="preserve">Zitiervorschlag: § 24 BTGO 1980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https://recht.nulegal.eu/gesetze/BTGO%201980/24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