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BTGO 1980 — Einberufung durch den Präsidenten</w:t>
      </w:r>
    </w:p>
    <w:p>
      <w:r>
        <w:rPr>
          <w:color w:val="555555"/>
          <w:sz w:val="18"/>
        </w:rPr>
        <w:t xml:space="preserve">Geschäftsordnung des Deutschen Bundestages</w:t>
      </w:r>
    </w:p>
    <w:p>
      <w:r>
        <w:rPr>
          <w:color w:val="555555"/>
          <w:sz w:val="18"/>
        </w:rPr>
        <w:t xml:space="preserve">Historische Fassung: Stand 10.06.2019 bis 01.11.2025. Dies ist nicht die aktuelle Fassung.</w:t>
      </w:r>
    </w:p>
    <w:p>
      <w:r>
        <w:t xml:space="preserve">(1) Selbständig setzt der Präsident Termin und Tagesordnung fest, wenn der Bundestag ihn dazu ermächtigt oder aus einem anderen Grunde als dem der Beschlußunfähigkeit nicht entscheiden kann.</w:t>
      </w:r>
    </w:p>
    <w:p>
      <w:r>
        <w:t xml:space="preserve">(2) Der Präsident ist zur Einberufung des Bundestages verpflichtet, wenn ein Drittel der Mitglieder des Bundestages, der Bundespräsident oder der Bundeskanzler es verlangen (Artikel 39 Abs. 3 des Grundgesetzes).</w:t>
      </w:r>
    </w:p>
    <w:p>
      <w:r>
        <w:t xml:space="preserve">(3) Hat der Präsident in anderen Fällen selbständig eine Sitzung anberaumt oder Nachträge zur Tagesordnung festgesetzt, so muß er bei Beginn der Sitzung die Genehmigung des Bundestages einholen.</w:t>
      </w:r>
    </w:p>
    <w:p>
      <w:r>
        <w:rPr>
          <w:color w:val="555555"/>
          <w:sz w:val="17"/>
        </w:rPr>
        <w:t xml:space="preserve">Zitiervorschlag: § 21 BTGO 1980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https://recht.nulegal.eu/gesetze/BTGO%201980/21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