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110 BTGO 1980 — Rechte des Petitionsausschusses</w:t>
      </w:r>
    </w:p>
    <w:p>
      <w:r>
        <w:rPr>
          <w:color w:val="555555"/>
          <w:sz w:val="18"/>
        </w:rPr>
        <w:t xml:space="preserve">Geschäftsordnung des Deutschen Bundestages</w:t>
      </w:r>
    </w:p>
    <w:p>
      <w:r>
        <w:rPr>
          <w:color w:val="555555"/>
          <w:sz w:val="18"/>
        </w:rPr>
        <w:t xml:space="preserve">Historische Fassung: Stand 10.06.2019 bis 01.11.2025. Dies ist nicht die aktuelle Fassung.</w:t>
      </w:r>
    </w:p>
    <w:p>
      <w:r>
        <w:t xml:space="preserve">(1) Der Petitionsausschuß hat Grundsätze über die Behandlung von Bitten und Beschwerden aufzustellen und diese Grundsätze zum Ausgangspunkt seiner Entscheidung im Einzelfall zu machen.</w:t>
      </w:r>
    </w:p>
    <w:p>
      <w:r>
        <w:t xml:space="preserve">(2) Soweit Ersuchen um Aktenvorlage, Auskunft oder Zutritt zu Einrichtungen unmittelbar an Behörden des Bundes, bundesunmittelbare Körperschaften, Anstalten und Stiftungen des öffentlichen Rechts gerichtet werden, ist das zuständige Mitglied der Bundesregierung zu verständigen.</w:t>
      </w:r>
    </w:p>
    <w:p>
      <w:r>
        <w:t xml:space="preserve">(3) Von der Anhörung des Petenten, Zeugen oder Sachverständigen ist das zuständige Mitglied der Bundesregierung rechtzeitig zu unterrichten.</w:t>
      </w:r>
    </w:p>
    <w:p>
      <w:r>
        <w:rPr>
          <w:color w:val="555555"/>
          <w:sz w:val="17"/>
        </w:rPr>
        <w:t xml:space="preserve">Zitiervorschlag: § 110 BTGO 1980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https://recht.nulegal.eu/gesetze/BTGO%201980/110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