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107 BTGO 1980 — Immunitätsangelegenheiten</w:t>
      </w:r>
    </w:p>
    <w:p>
      <w:r>
        <w:rPr>
          <w:color w:val="555555"/>
          <w:sz w:val="18"/>
        </w:rPr>
        <w:t xml:space="preserve">Geschäftsordnung des Deutschen Bundestages</w:t>
      </w:r>
    </w:p>
    <w:p>
      <w:r>
        <w:rPr>
          <w:color w:val="555555"/>
          <w:sz w:val="18"/>
        </w:rPr>
        <w:t xml:space="preserve">Historische Fassung: Stand 11.10.2025 bis 01.11.2025. Dies ist nicht die aktuelle Fassung.</w:t>
      </w:r>
    </w:p>
    <w:p>
      <w:r>
        <w:t xml:space="preserve">(1) Ersuchen in Immunitätsangelegenheiten sind vom Präsidenten unmittelbar an den Ausschuß für Wahlprüfung, Immunität und Geschäftsordnung weiterzuleiten.</w:t>
      </w:r>
    </w:p>
    <w:p>
      <w:r>
        <w:t xml:space="preserve">(2) Dieser hat Grundsätze über die Behandlung von Ersuchen auf Aufhebung der Immunität von Mitgliedern des Bundestages aufzustellen (Anlage 6) und diese Grundsätze zum Ausgangspunkt seiner in Einzelfällen zu erarbeitenden Beschlußempfehlungen an den Bundestag zu machen.</w:t>
      </w:r>
    </w:p>
    <w:p>
      <w:r>
        <w:t xml:space="preserve">(3) Die Beratung über eine Beschlußempfehlung ist an Fristen nicht gebunden. Sie soll frühestens am dritten Tage nach Verteilung der Vorlage (§ 75 Abs. 1 Buchstabe h) beginnen. Ist die Beschlußempfehlung noch nicht verteilt, wird sie verlesen.</w:t>
      </w:r>
    </w:p>
    <w:p>
      <w:r>
        <w:t xml:space="preserve">(4) Vor der Konstituierung des Ausschusses für Wahlprüfung, Immunität und Geschäftsordnung kann der Präsident dem Bundestag in Immunitätsangelegenheiten unmittelbar eine Beschlußempfehlung vorlegen.</w:t>
      </w:r>
    </w:p>
    <w:p>
      <w:r>
        <w:rPr>
          <w:color w:val="555555"/>
          <w:sz w:val="17"/>
        </w:rPr>
        <w:t xml:space="preserve">Zitiervorschlag: § 107 BTGO 1980</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https://recht.nulegal.eu/gesetze/BTGO%201980/107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