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BTGO 1980 — Aktuelle Stunde und Befragung der Bundesregierung</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Für die Aussprache über ein bestimmt bezeichnetes Thema von allgemeinem aktuellen Interesse in Kurzbeiträgen von fünf Minuten (Aktuelle Stunde) gelten, soweit diese Geschäftsordnung nichts anderes vorschreibt, die Richtlinien (Anlage 5).</w:t>
      </w:r>
    </w:p>
    <w:p>
      <w:r>
        <w:t xml:space="preserve">(2) In Sitzungswochen findet eine Befragung der Bundesregierung statt, bei der die Mitglieder des Bundestages Fragen von aktuellem Interesse an die Bundesregierung im Rahmen ihrer Verantwortlichkeit stellen können. Das Nähere wird in Richtlinien geregelt (Anlage 7).</w:t>
      </w:r>
    </w:p>
    <w:p>
      <w:r>
        <w:rPr>
          <w:color w:val="555555"/>
          <w:sz w:val="17"/>
        </w:rPr>
        <w:t xml:space="preserve">Zitiervorschlag: § 106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