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BTGO 1980 — Konstituierung</w:t>
      </w:r>
    </w:p>
    <w:p>
      <w:r>
        <w:rPr>
          <w:color w:val="555555"/>
          <w:sz w:val="18"/>
        </w:rPr>
        <w:t xml:space="preserve">Geschäftsordnung des Deutschen Bundestages</w:t>
      </w:r>
    </w:p>
    <w:p>
      <w:r>
        <w:rPr>
          <w:color w:val="555555"/>
          <w:sz w:val="18"/>
        </w:rPr>
        <w:t xml:space="preserve">Historische Fassung: Stand 10.06.2019 bis 01.11.2025. Dies ist nicht die aktuelle Fassung.</w:t>
      </w:r>
    </w:p>
    <w:p>
      <w:r>
        <w:t xml:space="preserve">(1) Der neugewählte Bundestag wird zu seiner ersten Sitzung vom bisherigen Präsidenten spätestens zum dreißigsten Tage nach der Wahl (Artikel 39 des Grundgesetzes) einberufen.</w:t>
      </w:r>
    </w:p>
    <w:p>
      <w:r>
        <w:t xml:space="preserve">(2) Bis der neugewählte Präsident oder einer seiner Stellvertreter das Amt übernimmt, führt das am längsten dem Bundestag angehörende Mitglied, das hierzu bereit ist, den Vorsitz (Alterspräsident); bei gleicher Dauer der Zugehörigkeit zum Bundestag entscheidet das höhere Lebensalter.</w:t>
      </w:r>
    </w:p>
    <w:p>
      <w:r>
        <w:t xml:space="preserve">(3) Der Alterspräsident ernennt Mitglieder des Bundestages zu vorläufigen Schriftführern. Hierauf erfolgt der Namensaufruf der Mitglieder des Bundestages.</w:t>
      </w:r>
    </w:p>
    <w:p>
      <w:r>
        <w:t xml:space="preserve">(4) Nach Feststellung der Beschlußfähigkeit wird die Wahl des Präsidenten, der Stellvertreter und der Schriftführer vorgenommen.</w:t>
      </w:r>
    </w:p>
    <w:p>
      <w:r>
        <w:rPr>
          <w:color w:val="555555"/>
          <w:sz w:val="17"/>
        </w:rPr>
        <w:t xml:space="preserve">Zitiervorschlag: § 1 BTGO 1980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https://recht.nulegal.eu/gesetze/BTGO%201980/1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BTGO 1980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