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BTBRGGO — Mehrheit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Ausschuß faßt seine Beschlüsse mit der Mehrheit der Stimmen seiner anwesenden Mitglieder.</w:t>
      </w:r>
    </w:p>
    <w:p>
      <w:r>
        <w:rPr>
          <w:color w:val="555555"/>
          <w:sz w:val="17"/>
        </w:rPr>
        <w:t xml:space="preserve">Zitiervorschlag: § 8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