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BTBRGGO — Beschlußfähigkeit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Ausschuß ist beschlußfähig, wenn die Mitglieder unter Mitteilung der Tagesordnung mit einer Frist von mindestens fünf Tagen geladen und mindestens zwölf Mitglieder anwesend sind.</w:t>
      </w:r>
    </w:p>
    <w:p>
      <w:r>
        <w:t xml:space="preserve">(2) Die Ladungsfrist beginnt mit der Abgabe der Ladung bei den für die Postverteilung zuständigen Stellen von Bundestag und Bundesrat.</w:t>
      </w:r>
    </w:p>
    <w:p>
      <w:r>
        <w:t xml:space="preserve">(3) Ein Einigungsvorschlag kann nur beschlossen werden, wenn mindestens je sieben Mitglieder des Bundestages und des Bundesrates anwesend sind.</w:t>
      </w:r>
    </w:p>
    <w:p>
      <w:r>
        <w:rPr>
          <w:color w:val="555555"/>
          <w:sz w:val="17"/>
        </w:rPr>
        <w:t xml:space="preserve">Zitiervorschlag: § 7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