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BTBRGGO — Außerkrafttreten</w:t>
      </w:r>
    </w:p>
    <w:p>
      <w:r>
        <w:rPr>
          <w:color w:val="555555"/>
          <w:sz w:val="18"/>
        </w:rPr>
        <w:t xml:space="preserve">Gemeinsame Geschäftsordnung des Bundestages und des Bundesrates für den Ausschuß nach Artikel 77 des Grundgesetzes (Vermittlungsausschuß)</w:t>
      </w:r>
    </w:p>
    <w:p>
      <w:r>
        <w:rPr>
          <w:color w:val="555555"/>
          <w:sz w:val="18"/>
        </w:rPr>
        <w:t xml:space="preserve">Stand: 10.06.2019 (konsolidierte Textfassung, kein amtliches Inkrafttretensdatum)</w:t>
      </w:r>
    </w:p>
    <w:p>
      <w:r>
        <w:t xml:space="preserve">Diese Geschäftsordnung tritt, wenn Bundestag oder Bundesrat ihre Aufhebung beschließen, sechs Monate nach der Beschlußfassung außer Kraft, es sei denn, daß der Bundestag vorher mit Zustimmung des Bundesrates eine Änderung beschließt.</w:t>
      </w:r>
    </w:p>
    <w:p>
      <w:r>
        <w:rPr>
          <w:color w:val="555555"/>
          <w:sz w:val="17"/>
        </w:rPr>
        <w:t xml:space="preserve">Zitiervorschlag: § 13 BTBRGGO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https://recht.nulegal.eu/gesetze/BTBRGGO/13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