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BTBRGGO — Ständige Mitglieder</w:t>
      </w:r>
    </w:p>
    <w:p>
      <w:r>
        <w:rPr>
          <w:color w:val="555555"/>
          <w:sz w:val="18"/>
        </w:rPr>
        <w:t xml:space="preserve">Gemeinsame Geschäftsordnung des Bundestages und des Bundesrates für den Ausschuß nach Artikel 77 des Grundgesetzes (Vermittlungsausschuß)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Bundestag und Bundesrat entsenden je 16 ihrer Mitglieder, die den ständigen Vermittlungsausschuß bilden.</w:t>
      </w:r>
    </w:p>
    <w:p>
      <w:r>
        <w:rPr>
          <w:color w:val="555555"/>
          <w:sz w:val="17"/>
        </w:rPr>
        <w:t xml:space="preserve">Zitiervorschlag: § 1 BTBRGGO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https://recht.nulegal.eu/gesetze/BTBRGGO/1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BTBRGGO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