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BTÄO</w:t>
      </w:r>
    </w:p>
    <w:p>
      <w:r>
        <w:rPr>
          <w:color w:val="555555"/>
          <w:sz w:val="18"/>
        </w:rPr>
        <w:t xml:space="preserve">Bundes-Tierärzteordnung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Ruhen der Approbation kann angeordnet werden, wenn</w:t>
      </w:r>
    </w:p>
    <w:p>
      <w:pPr>
        <w:ind w:left="420"/>
      </w:pPr>
      <w:r>
        <w:t xml:space="preserve">1. gegen den Tierarzt wegen des Verdachts einer Straftat, aus der sich seine Unwürdigkeit oder Unzuverlässigkeit zur Ausübung des tierärztlichen Berufs ergeben könnte, ein Strafverfahren eingeleitet ist oder</w:t>
      </w:r>
    </w:p>
    <w:p>
      <w:pPr>
        <w:ind w:left="420"/>
      </w:pPr>
      <w:r>
        <w:t xml:space="preserve">2. eine der Voraussetzungen des § 4 Abs. 1 Nr. 3 nicht mehr gegeben ist,</w:t>
      </w:r>
    </w:p>
    <w:p>
      <w:pPr>
        <w:ind w:left="420"/>
      </w:pPr>
      <w:r>
        <w:t xml:space="preserve">3. Zweifel bestehen, ob die Voraussetzungen des § 4 Abs. 1 Nr. 3 noch erfüllt sind und der Tierarzt sich weigert, sich einer von der zuständigen Behörde angeordneten amts- oder fachärztlichen Untersuchung zu unterziehen oder</w:t>
      </w:r>
    </w:p>
    <w:p>
      <w:pPr>
        <w:ind w:left="420"/>
      </w:pPr>
      <w:r>
        <w:t xml:space="preserve">4. bekannt wird, dass der Tierarzt nicht über die Kenntnisse der deutschen Sprache verfügt, die für die Ausübung des tierärztlichen Berufs in Deutschland erforderlich sind.</w:t>
      </w:r>
    </w:p>
    <w:p>
      <w:r>
        <w:t xml:space="preserve">(2) Die Anordnung ist aufzuheben, wenn ihre Voraussetzungen nicht mehr vorliegen.</w:t>
      </w:r>
    </w:p>
    <w:p>
      <w:r>
        <w:t xml:space="preserve">(3) Der Tierarzt, dessen Approbation ruht, darf den tierärztlichen Beruf nicht ausüben.</w:t>
      </w:r>
    </w:p>
    <w:p>
      <w:r>
        <w:t xml:space="preserve">(4) Die zuständige Behörde kann zulassen, daß die Praxis eines Tierarztes, dessen Approbation ruht, für einen von ihr zu bestimmenden Zeitraum durch einen anderen Tierarzt weitergeführt werden kann.</w:t>
      </w:r>
    </w:p>
    <w:p>
      <w:r>
        <w:rPr>
          <w:color w:val="555555"/>
          <w:sz w:val="17"/>
        </w:rPr>
        <w:t xml:space="preserve">Zitiervorschlag: § 8 BTÄO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https://recht.nulegal.eu/gesetze/BT%C3%84O/8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