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BTÄO</w:t>
      </w:r>
    </w:p>
    <w:p>
      <w:r>
        <w:rPr>
          <w:color w:val="555555"/>
          <w:sz w:val="18"/>
        </w:rPr>
        <w:t xml:space="preserve">Bundes-Tierärzteordnung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Berufsbezeichnung "Tierarzt" oder "Tierärztin" darf nur führen, wer als Tierarzt approbiert oder nach § 2 Abs. 2, 3 oder 4 zur vorübergehenden Ausübung des tierärztlichen Berufs befugt ist.</w:t>
      </w:r>
    </w:p>
    <w:p>
      <w:r>
        <w:rPr>
          <w:color w:val="555555"/>
          <w:sz w:val="17"/>
        </w:rPr>
        <w:t xml:space="preserve">Zitiervorschlag: § 3 BTÄO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https://recht.nulegal.eu/gesetze/BT%C3%84O/3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