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BTÄO</w:t>
      </w:r>
    </w:p>
    <w:p>
      <w:r>
        <w:rPr>
          <w:color w:val="555555"/>
          <w:sz w:val="18"/>
        </w:rPr>
        <w:t xml:space="preserve">Bundes-Tierärzteordnung</w:t>
      </w:r>
    </w:p>
    <w:p>
      <w:r>
        <w:rPr>
          <w:color w:val="555555"/>
          <w:sz w:val="18"/>
        </w:rPr>
        <w:t xml:space="preserve">Stand: 10.06.2019 (konsolidierte Textfassung, kein amtliches Inkrafttretensdatum)</w:t>
      </w:r>
    </w:p>
    <w:p>
      <w:r>
        <w:t xml:space="preserve">(1) Die Bundesregierung wird ermächtigt, durch Rechtsverordnung mit Zustimmung des Bundesrates die Entgelte für tierärztliche Leistungen einschließlich der Preise und Preisspannen für vom Tierarzt angewandte Arzneimittel in einer Gebührenordnung zu regeln. Dabei ist den berechtigten Interessen der Tierärzte und der zur Zahlung der Entgelte Verpflichteten Rechnung zu tragen. Die Vorschriften der Deutschen Arzneitaxe sind zu berücksichtigen.</w:t>
      </w:r>
    </w:p>
    <w:p>
      <w:r>
        <w:t xml:space="preserve">(2) Das Bundesministerium für Ernährung und Landwirtschaft wird ermächtigt, durch Rechtsverordnung mit Zustimmung des Bundesrates die für das in Artikel 3 des Einigungsvertrages genannte Gebiet am 3. Oktober 1990 vorgeschriebene Höhe der Vergütungen nach der Gebührenordnung für tierärztliche Leistungen in regelmäßigen Abständen an die wirtschaftliche Entwicklung anzupassen. Dabei ist das Verhältnis der für das in Artikel 3 des Einigungsvertrages genannte Gebiet bestimmten Bezugsgröße der Sozialversicherung zu der Bezugsgröße für das Gebiet, in dem das Grundgesetz schon vor dem Beitritt gegolten hat, zu berücksichtigen.</w:t>
      </w:r>
    </w:p>
    <w:p>
      <w:r>
        <w:t xml:space="preserve">(3) (weggefallen)</w:t>
      </w:r>
    </w:p>
    <w:p>
      <w:r>
        <w:rPr>
          <w:color w:val="555555"/>
          <w:sz w:val="17"/>
        </w:rPr>
        <w:t xml:space="preserve">Zitiervorschlag: § 12 BTÄO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https://recht.nulegal.eu/gesetze/BT%C3%84O/12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BTÄO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