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BStrafAktFV</w:t>
      </w:r>
    </w:p>
    <w:p>
      <w:r>
        <w:rPr>
          <w:color w:val="555555"/>
          <w:sz w:val="18"/>
        </w:rPr>
        <w:t xml:space="preserve">Bundesstrafaktenführungsverordnung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Auf Grund des § 32 Absatz 2 Satz 1 der Strafprozessordnung, der durch Artikel 1 Nummer 2 des Gesetzes vom 5. Juli 2017 (BGBl. I S. 2208) eingefügt worden ist, verordnet die Bundesregierung:</w:t>
      </w:r>
    </w:p>
    <w:p>
      <w:r>
        <w:rPr>
          <w:color w:val="555555"/>
          <w:sz w:val="17"/>
        </w:rPr>
        <w:t xml:space="preserve">Zitiervorschlag: Eingangsformel BStrafAktFV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https://recht.nulegal.eu/gesetze/BStrafAktFV/eingangsformel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