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BStrafAktFV — Inkrafttreten</w:t>
      </w:r>
    </w:p>
    <w:p>
      <w:r>
        <w:rPr>
          <w:color w:val="555555"/>
          <w:sz w:val="18"/>
        </w:rPr>
        <w:t xml:space="preserve">Bundesstrafaktenführungsverordnung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BStrafAktFV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https://recht.nulegal.eu/gesetze/BStrafAktFV/6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