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BStrafAktFV — Barrierefreiheit</w:t>
      </w:r>
    </w:p>
    <w:p>
      <w:r>
        <w:rPr>
          <w:color w:val="555555"/>
          <w:sz w:val="18"/>
        </w:rPr>
        <w:t xml:space="preserve">Bundesstrafaktenführungsverordnung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Elektronische Akten und Verfahren zur elektronischen Aktenführung und -bearbeitung sollen technisch so gestaltet werden, dass sie, soweit technisch möglich, barrierefrei zugänglich und nutzbar sind. Hierzu sollen die Anforderungen an die Barrierefreiheit im Sinne der Barrierefreie-Informationstechnik-Verordnung vom 12. September 2011 (BGBl. I S. 1843), die zuletzt durch Artikel 1 der Verordnung vom 21. Mai 2019 (BGBl. I S. 738) geändert worden ist, in der jeweils geltenden Fassung bereits bei der Planung, Entwicklung, Ausschreibung und Beschaffung beachtet werden.</w:t>
      </w:r>
    </w:p>
    <w:p>
      <w:r>
        <w:rPr>
          <w:color w:val="555555"/>
          <w:sz w:val="17"/>
        </w:rPr>
        <w:t xml:space="preserve">Zitiervorschlag: § 4 BStrafAktFV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https://recht.nulegal.eu/gesetze/BStrafAktFV/4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