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BStrafAktFV — Struktur und Format elektronischer Akten; Repräsentat</w:t>
      </w:r>
    </w:p>
    <w:p>
      <w:r>
        <w:rPr>
          <w:color w:val="555555"/>
          <w:sz w:val="18"/>
        </w:rPr>
        <w:t xml:space="preserve">Bundesstrafaktenführungsverordnung</w:t>
      </w:r>
    </w:p>
    <w:p>
      <w:r>
        <w:rPr>
          <w:color w:val="555555"/>
          <w:sz w:val="18"/>
        </w:rPr>
        <w:t xml:space="preserve">Stand: 17.12.2019 (konsolidierte Textfassung, kein amtliches Inkrafttretensdatum)</w:t>
      </w:r>
    </w:p>
    <w:p>
      <w:r>
        <w:t xml:space="preserve">(1) In der elektronischen Akte werden zur Akte gebrachte elektronische Dokumente einschließlich zugehöriger Signaturdateien sowie sonstige zur Akte gebrachte Dateien und Informationen gespeichert. Elektronische Empfangsbekenntnisse sowie elektronische Formulare, die als strukturierte maschinenlesbare Datensätze übermittelt worden sind (§ 32c der Strafprozessordnung), werden als Datensätze in der elektronischen Akte gespeichert.</w:t>
      </w:r>
    </w:p>
    <w:p>
      <w:r>
        <w:t xml:space="preserve">(2) Die nach Absatz 1 in der elektronischen Akte gespeicherten Inhalte müssen jederzeit zusätzlich als elektronische Dokumente im Format PDF/A wiedergegeben werden können; diese Dokumente bilden das Repräsentat. Das Repräsentat muss den gesamten zur Akte gebrachten Inhalt mit Ausnahme der nur für die Datenverarbeitung notwendigen Struktur-, Definitions- und Schemadateien wiedergeben. Soweit die Wiedergabe eines Inhalts technisch nicht möglich ist, ist ein entsprechender Hinweis in das Repräsentat aufzunehmen. An die Stelle von Signaturdateien treten im Repräsentat Vermerke über das Ergebnis der Signaturprüfung. Das Repräsentat muss druckbar, kopierbar und, soweit technisch möglich, durchsuchbar sein. Die Seiten des Repräsentats sind so zu nummerieren, dass sie eindeutig zitiert werden können.</w:t>
      </w:r>
    </w:p>
    <w:p>
      <w:r>
        <w:t xml:space="preserve">(3) Bei der elektronischen Aktenführung sind alle Daten vorzuhalten, die erforderlich sind, um den für die Übermittlung von elektronischen Akten vorgesehenen strukturierten maschinenlesbaren Datensatz im Dateiformat XML gemäß der Bekanntmachung nach § 6 der Strafaktenübermittlungsverordnung zu erzeugen und die Bearbeitung zu unterstützen.</w:t>
      </w:r>
    </w:p>
    <w:p>
      <w:r>
        <w:rPr>
          <w:color w:val="555555"/>
          <w:sz w:val="17"/>
        </w:rPr>
        <w:t xml:space="preserve">Zitiervorschlag: § 2 BStrafAktFV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https://recht.nulegal.eu/gesetze/BStrafAktFV/2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