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BStrafAktFV — Anwendungsbereich</w:t>
      </w:r>
    </w:p>
    <w:p>
      <w:r>
        <w:rPr>
          <w:color w:val="555555"/>
          <w:sz w:val="18"/>
        </w:rPr>
        <w:t xml:space="preserve">Bundesstrafaktenführungsverordnung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Diese Verordnung ist anzuwenden auf elektronisch geführte Strafverfahrensakten</w:t>
      </w:r>
    </w:p>
    <w:p>
      <w:pPr>
        <w:ind w:left="420"/>
      </w:pPr>
      <w:r>
        <w:t xml:space="preserve">1. des Generalbundesanwalts beim Bundesgerichtshof;</w:t>
      </w:r>
    </w:p>
    <w:p>
      <w:pPr>
        <w:ind w:left="420"/>
      </w:pPr>
      <w:r>
        <w:t xml:space="preserve">2. der Finanzbehörden des Bundes in Ermittlungsverfahren nach § 386 Absatz 2 der Abgabenordnung und § 14a des Schwarzarbeitsbekämpfungsgesetzes;</w:t>
      </w:r>
    </w:p>
    <w:p>
      <w:pPr>
        <w:ind w:left="420"/>
      </w:pPr>
      <w:r>
        <w:t xml:space="preserve">3. des Bundesgerichtshofs.</w:t>
      </w:r>
    </w:p>
    <w:p>
      <w:r>
        <w:rPr>
          <w:color w:val="555555"/>
          <w:sz w:val="17"/>
        </w:rPr>
        <w:t xml:space="preserve">Zitiervorschlag: § 1 BStrafAktFV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https://recht.nulegal.eu/gesetze/BStrafAktFV/1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