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BStrMKnotV 2018</w:t>
      </w:r>
    </w:p>
    <w:p>
      <w:r>
        <w:rPr>
          <w:color w:val="555555"/>
          <w:sz w:val="18"/>
        </w:rPr>
        <w:t xml:space="preserve">Bundesstraßenmaut-Knotenpunkteverordnung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3a Absatz 2 Satz 1 in Verbindung mit Satz 2 des Bundesfernstraßenmautgesetzes vom 12. Juli 2011 (BGBl. I S. 1378), der durch Artikel 1 Nummer 3 des Gesetzes vom 27. März 2017 (BGBl. I S. 564) neu gefasst worden ist, sowie in Verbindung mit § 1 Nummer 1 der BAG-Übertragungsverordnung vom 14. Januar 2016 (BAnz AT 26.01.2016 V1), die durch Artikel 1 der Verordnung vom 11. Juli 2018 (BAnz AT 30.07.2018 V1) geändert worden ist, verordnet das Bundesamt für Güterverkehr:</w:t>
      </w:r>
    </w:p>
    <w:p>
      <w:r>
        <w:rPr>
          <w:color w:val="555555"/>
          <w:sz w:val="17"/>
        </w:rPr>
        <w:t xml:space="preserve">Zitiervorschlag: Eingangsformel BStrMKnotV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https://recht.nulegal.eu/gesetze/BStrMKnotV%202018/eingangsformel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