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BStrMKnotV 2018</w:t>
      </w:r>
    </w:p>
    <w:p>
      <w:r>
        <w:rPr>
          <w:color w:val="555555"/>
          <w:sz w:val="18"/>
        </w:rPr>
        <w:t xml:space="preserve">Bundesstraßenmaut-Knotenpunkteverordnung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Knotenpunkte für Bundesstraßen werden abweichend von § 3a Absatz 1 Satz 1 Nummer 2 und Satz 2 bis 4 des Bundesfernstraßenmautgesetzes wie aus der Anlage ersichtlich festgelegt.</w:t>
      </w:r>
    </w:p>
    <w:p>
      <w:r>
        <w:rPr>
          <w:color w:val="555555"/>
          <w:sz w:val="17"/>
        </w:rPr>
        <w:t xml:space="preserve">Zitiervorschlag: § 1 BStrMKnotV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https://recht.nulegal.eu/gesetze/BStrMKnotV%202018/1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