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BStatG 1987 — Regelungsumfang bundesstatistischer Rechtsvorschriften</w:t>
      </w:r>
    </w:p>
    <w:p>
      <w:r>
        <w:rPr>
          <w:color w:val="555555"/>
          <w:sz w:val="18"/>
        </w:rPr>
        <w:t xml:space="preserve">Bundesstatistikgesetz</w:t>
      </w:r>
    </w:p>
    <w:p>
      <w:r>
        <w:rPr>
          <w:color w:val="555555"/>
          <w:sz w:val="18"/>
        </w:rPr>
        <w:t xml:space="preserve">Stand: 10.06.2019 (konsolidierte Textfassung, kein amtliches Inkrafttretensdatum)</w:t>
      </w:r>
    </w:p>
    <w:p>
      <w:r>
        <w:t xml:space="preserve">(1) Die eine Bundesstatistik anordnende Rechtsvorschrift muss die Erhebungsmerkmale, die Hilfsmerkmale, die Art der Erhebung, den Berichtszeitraum oder den Berichtszeitpunkt, die Periodizität und den Kreis der zu Befragenden bestimmen.</w:t>
      </w:r>
    </w:p>
    <w:p>
      <w:r>
        <w:t xml:space="preserve">(2) Laufende Nummern und Ordnungsnummern zur Durchführung von Bundesstatistiken bedürfen einer Bestimmung in der eine Bundesstatistik anordnenden Rechtsvorschrift nur insoweit, als sie Angaben über persönliche oder sachliche Verhältnisse enthalten, die über die Erhebungs- und Hilfsmerkmale hinausgehen.</w:t>
      </w:r>
    </w:p>
    <w:p>
      <w:r>
        <w:rPr>
          <w:color w:val="555555"/>
          <w:sz w:val="17"/>
        </w:rPr>
        <w:t xml:space="preserve">Zitiervorschlag: § 9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