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BStatG 1987 — Bußgeldvorschrift</w:t>
      </w:r>
    </w:p>
    <w:p>
      <w:r>
        <w:rPr>
          <w:color w:val="555555"/>
          <w:sz w:val="18"/>
        </w:rPr>
        <w:t xml:space="preserve">Bundesstatistikgesetz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Ordnungswidrig handelt, wer vorsätzlich oder fahrlässig entgegen § 15 Absatz 1 Satz 2, Absatz 2 und 5 Satz 1 eine Auskunft nicht, nicht richtig, nicht vollständig oder nicht rechtzeitig erteilt.</w:t>
      </w:r>
    </w:p>
    <w:p>
      <w:r>
        <w:t xml:space="preserve">(2) Ordnungswidrig handelt, wer</w:t>
      </w:r>
    </w:p>
    <w:p>
      <w:pPr>
        <w:ind w:left="420"/>
      </w:pPr>
      <w:r>
        <w:t xml:space="preserve">1. entgegen § 15 Absatz 3 eine Antwort nicht in der vorgeschriebenen Form erteilt oder</w:t>
      </w:r>
    </w:p>
    <w:p>
      <w:pPr>
        <w:ind w:left="420"/>
      </w:pPr>
      <w:r>
        <w:t xml:space="preserve">2. entgegen § 11a Absatz 2 Satz 1 ein dort genanntes Verfahren nicht nutzt.</w:t>
      </w:r>
    </w:p>
    <w:p>
      <w:r>
        <w:t xml:space="preserve">(2a) Ordnungswidrig handelt, wer entgegen § 6 Absatz 1 Satz 2 eine Auskunft nicht, nicht richtig, nicht vollständig, nicht rechtzeitig oder nicht in der vorgegebenen Form erteilt.</w:t>
      </w:r>
    </w:p>
    <w:p>
      <w:r>
        <w:t xml:space="preserve">(3) Soweit gesetzlich nicht anders bestimmt, kann die Ordnungswidrigkeit mit einer Geldbuße bis zu fünftausend Euro geahndet werden.</w:t>
      </w:r>
    </w:p>
    <w:p>
      <w:r>
        <w:rPr>
          <w:color w:val="555555"/>
          <w:sz w:val="17"/>
        </w:rPr>
        <w:t xml:space="preserve">Zitiervorschlag: § 23 BStatG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https://recht.nulegal.eu/gesetze/BStatG%201987/23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