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BStatG 1987 — Auskunftspflicht</w:t>
      </w:r>
    </w:p>
    <w:p>
      <w:r>
        <w:rPr>
          <w:color w:val="555555"/>
          <w:sz w:val="18"/>
        </w:rPr>
        <w:t xml:space="preserve">Bundesstatistikgesetz</w:t>
      </w:r>
    </w:p>
    <w:p>
      <w:r>
        <w:rPr>
          <w:color w:val="555555"/>
          <w:sz w:val="18"/>
        </w:rPr>
        <w:t xml:space="preserve">Stand: 10.06.2019 (konsolidierte Textfassung, kein amtliches Inkrafttretensdatum)</w:t>
      </w:r>
    </w:p>
    <w:p>
      <w:r>
        <w:t xml:space="preserve">(1) Die eine Bundesstatistik anordnende Rechtsvorschrift hat festzulegen, ob und in welchem Umfang die Erhebung mit oder ohne Auskunftspflicht erfolgen soll. Ist eine Auskunftspflicht festgelegt, sind alle natürlichen und juristischen Personen des privaten und öffentlichen Rechts, Personenvereinigungen, Behörden des Bundes und der Länder sowie Gemeinden und Gemeindeverbände zur Beantwortung der ordnungsgemäß gestellten Fragen verpflichtet.</w:t>
      </w:r>
    </w:p>
    <w:p>
      <w:r>
        <w:t xml:space="preserve">(2) Die Auskunftspflicht besteht gegenüber den Erhebungsbeauftragten und den mit der Durchführung der Bundesstatistiken amtlich betrauten Stellen (Erhebungsstellen).</w:t>
      </w:r>
    </w:p>
    <w:p>
      <w:r>
        <w:t xml:space="preserve">(3) Die Antworten sind von den Befragten in der von der Erhebungsstelle vorgegebenen Form zu erteilen.</w:t>
      </w:r>
    </w:p>
    <w:p>
      <w:r>
        <w:t xml:space="preserve">(4) Die Antwort kann elektronisch, schriftlich, mündlich oder telefonisch erteilt werden, soweit diese Möglichkeit zur Antworterteilung von der Erhebungsstelle angeboten wird. Im Falle einer mündlichen oder telefonischen Befragung ist auch die Möglichkeit einer schriftlichen Antworterteilung vorzusehen. Die Pflicht zur elektronischen Antworterteilung darf nur unter den Bedingungen des § 11a oder aufgrund eines Bundesgesetzes vorgegeben werden.</w:t>
      </w:r>
    </w:p>
    <w:p>
      <w:r>
        <w:t xml:space="preserve">(5) Die Antwort ist wahrheitsgemäß, vollständig und innerhalb der von den Erhebungsstellen gesetzten Fristen zu erteilen. Die Antwort ist erteilt, wenn sie</w:t>
      </w:r>
    </w:p>
    <w:p>
      <w:pPr>
        <w:ind w:left="420"/>
      </w:pPr>
      <w:r>
        <w:t xml:space="preserve">1. bei postalischer Übermittlung der Erhebungsstelle zugegangen ist, oder</w:t>
      </w:r>
    </w:p>
    <w:p>
      <w:pPr>
        <w:ind w:left="420"/>
      </w:pPr>
      <w:r>
        <w:t xml:space="preserve">2. bei elektronischer Übermittlung von der für den Empfang bestimmten Einrichtung in für die Erhebungsstelle bearbeitbarer Weise aufgezeichnet worden ist.</w:t>
      </w:r>
    </w:p>
    <w:p>
      <w:r>
        <w:t xml:space="preserve">Die Antwort ist, soweit in einer Rechtsvorschrift nichts anderes bestimmt ist, für den Empfänger kosten- und portofrei zu erteilen.</w:t>
      </w:r>
    </w:p>
    <w:p>
      <w:r>
        <w:t xml:space="preserve">(6) Wird bei einer mündlichen oder telefonischen Befragung die Antwort nach Absatz 4 Satz 2 schriftlich erteilt, können die ausgefüllten Fragebogen den Erhebungsbeauftragten übergeben, bei der Erhebungsstelle abgegeben oder dorthin übersandt werden.</w:t>
      </w:r>
    </w:p>
    <w:p>
      <w:r>
        <w:t xml:space="preserve">(7) Widerspruch und Anfechtungsklage gegen die Aufforderung zur Auskunftserteilung haben keine aufschiebende Wirkung.</w:t>
      </w:r>
    </w:p>
    <w:p>
      <w:r>
        <w:rPr>
          <w:color w:val="555555"/>
          <w:sz w:val="17"/>
        </w:rPr>
        <w:t xml:space="preserve">Zitiervorschlag: § 15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