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11a BStatG 1987 — Elektronische Datenübermittlung</w:t>
      </w:r>
    </w:p>
    <w:p>
      <w:r>
        <w:rPr>
          <w:color w:val="555555"/>
          <w:sz w:val="18"/>
        </w:rPr>
        <w:t xml:space="preserve">Bundesstatistikgesetz</w:t>
      </w:r>
    </w:p>
    <w:p>
      <w:r>
        <w:rPr>
          <w:color w:val="555555"/>
          <w:sz w:val="18"/>
        </w:rPr>
        <w:t xml:space="preserve">Stand: 10.06.2019 (konsolidierte Textfassung, kein amtliches Inkrafttretensdatum)</w:t>
      </w:r>
    </w:p>
    <w:p>
      <w:r>
        <w:t xml:space="preserve">(1) Soweit Stellen, die Aufgaben der öffentlichen Verwaltung wahrnehmen, Daten mittels standardisierter elektronischer Datenaustauschformate übermitteln, sind diese auch bei der Übermittlung der für eine Bundesstatistik zu erhebenden Daten zu verwenden. Ansonsten sind elektronische Verfahren nach Absprache der statistischen Ämter mit den betroffenen Stellen zu verwenden.</w:t>
      </w:r>
    </w:p>
    <w:p>
      <w:r>
        <w:t xml:space="preserve">(2) Werden Betrieben und Unternehmen für die Übermittlung der für eine Bundesstatistik zu erhebenden Daten elektronische Verfahren zur Verfügung gestellt, sind sie verpflichtet, diese Verfahren zu nutzen. Zur Vermeidung unbilliger Härten kann die zuständige Stelle auf Antrag eine Ausnahme zulassen.</w:t>
      </w:r>
    </w:p>
    <w:p>
      <w:r>
        <w:t xml:space="preserve">(3) Bei der elektronischen Übermittlung ist ein dem Stand der Technik entsprechendes Verschlüsselungsverfahren zu verwenden.</w:t>
      </w:r>
    </w:p>
    <w:p>
      <w:r>
        <w:rPr>
          <w:color w:val="555555"/>
          <w:sz w:val="17"/>
        </w:rPr>
        <w:t xml:space="preserve">Zitiervorschlag: § 11a BStatG 1987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https://recht.nulegal.eu/gesetze/BStatG%201987/11a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