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BStV</w:t>
      </w:r>
    </w:p>
    <w:p>
      <w:r>
        <w:rPr>
          <w:color w:val="555555"/>
          <w:sz w:val="18"/>
        </w:rPr>
        <w:t xml:space="preserve">Beratungsstellenverordnung</w:t>
      </w:r>
    </w:p>
    <w:p>
      <w:r>
        <w:rPr>
          <w:color w:val="555555"/>
          <w:sz w:val="18"/>
        </w:rPr>
        <w:t xml:space="preserve">Stand: 10.11.2020 (konsolidierte Textfassung, kein amtliches Inkrafttretensdatum)</w:t>
      </w:r>
    </w:p>
    <w:p>
      <w:r>
        <w:t xml:space="preserve">Auf Grund des § 23b in Verbindung mit § 23a des Arbeitnehmer-Entsendegesetzes, die durch Artikel 1 Nummer 16a des Gesetzes vom 10. Juli 2020 (BGBl. I S. 1657) eingefügt worden sind, verordnet das Bundesministerium für Arbeit und Soziales:</w:t>
      </w:r>
    </w:p>
    <w:p>
      <w:r>
        <w:rPr>
          <w:color w:val="555555"/>
          <w:sz w:val="17"/>
        </w:rPr>
        <w:t xml:space="preserve">Zitiervorschlag: Eingangsformel BStV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