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BStättV (Bayern) — Anwendungsbereich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dieser Verordnung gelten für Beherbergungsstätten mit mehr als 30 Gastbetten.</w:t>
      </w:r>
    </w:p>
    <w:p>
      <w:r>
        <w:t xml:space="preserve">(2) Die Vorschriften dieser Verordnung gelten nicht für Berghütten.</w:t>
      </w:r>
    </w:p>
    <w:p>
      <w:r>
        <w:rPr>
          <w:color w:val="555555"/>
          <w:sz w:val="17"/>
        </w:rPr>
        <w:t xml:space="preserve">Zitiervorschlag: § 1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