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BSonGebV (Brandenburg) — Erstattung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Wird die Sondernutzung aufgegeben oder die Erlaubnis oder</w:t>
      </w:r>
    </w:p>
    <w:p>
      <w:r>
        <w:t xml:space="preserve">Genehmigung widerrufen, so werden bei Gebühren, die nach Jahren bemessen</w:t>
      </w:r>
    </w:p>
    <w:p>
      <w:r>
        <w:t xml:space="preserve">werden, die im voraus entrichteten Gebühren anteilig erstattet. Dabei wird</w:t>
      </w:r>
    </w:p>
    <w:p>
      <w:r>
        <w:t xml:space="preserve">für jeden vollen Monat ein Zwölftel der Jahresgebühr berechnet.</w:t>
      </w:r>
    </w:p>
    <w:p>
      <w:r>
        <w:t xml:space="preserve">Eine Verzinsung erfolgt nicht.</w:t>
      </w:r>
    </w:p>
    <w:p>
      <w:r>
        <w:rPr>
          <w:color w:val="555555"/>
          <w:sz w:val="17"/>
        </w:rPr>
        <w:t xml:space="preserve">Zitiervorschlag: § 9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