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BSonGebV (Brandenburg) — Beitreibung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Beitreibung von Gebühren erfolgt aufgrund der</w:t>
      </w:r>
    </w:p>
    <w:p>
      <w:r>
        <w:t xml:space="preserve">Vorschriften des Verwaltungsvollstreckungsgesetzes für das Land</w:t>
      </w:r>
    </w:p>
    <w:p>
      <w:r>
        <w:t xml:space="preserve">Brandenburg vom 18. Dezember 1991 (GVBl. S. 661) in der jeweils geltenden</w:t>
      </w:r>
    </w:p>
    <w:p>
      <w:r>
        <w:t xml:space="preserve">Fassung.</w:t>
      </w:r>
    </w:p>
    <w:p>
      <w:r>
        <w:rPr>
          <w:color w:val="555555"/>
          <w:sz w:val="17"/>
        </w:rPr>
        <w:t xml:space="preserve">Zitiervorschlag: § 8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