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BSonGebV (Brandenburg) — Stundung, Niederschlagung, Erlaß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Stundung, die Niederschlagung und den Erlaß</w:t>
      </w:r>
    </w:p>
    <w:p>
      <w:r>
        <w:t xml:space="preserve">von Gebühren gelten die Vorschriften der Landeshaushaltsordnung vom 7. Mai</w:t>
      </w:r>
    </w:p>
    <w:p>
      <w:r>
        <w:t xml:space="preserve">1991 (GVBl. S. 46) in der jeweils geltenden Fassung.</w:t>
      </w:r>
    </w:p>
    <w:p>
      <w:r>
        <w:rPr>
          <w:color w:val="555555"/>
          <w:sz w:val="17"/>
        </w:rPr>
        <w:t xml:space="preserve">Zitiervorschlag: § 7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