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BSonGebV (Brandenburg) — Übergangsregelung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Sondernutzungen, für die eine Erlaubnis oder</w:t>
      </w:r>
    </w:p>
    <w:p>
      <w:r>
        <w:t xml:space="preserve">Genehmigung vor Inkrafttreten dieser Verordnung erteilt worden ist, findet der</w:t>
      </w:r>
    </w:p>
    <w:p>
      <w:r>
        <w:t xml:space="preserve">Gebührentarif mit Inkrafttreten dieser Verordnung Anwendung.</w:t>
      </w:r>
    </w:p>
    <w:p>
      <w:r>
        <w:t xml:space="preserve">(2) Auf Sondernutzungen im Sinne des Absatzes 1, für die</w:t>
      </w:r>
    </w:p>
    <w:p>
      <w:r>
        <w:t xml:space="preserve">keine Erlaubnis oder Genehmigung erteilt worden ist, findet der</w:t>
      </w:r>
    </w:p>
    <w:p>
      <w:r>
        <w:t xml:space="preserve">Gebührentarif mit Inkrafttreten dieser Verordnung Anwendung.</w:t>
      </w:r>
    </w:p>
    <w:p>
      <w:r>
        <w:t xml:space="preserve">(3) Vor Erlaß dieser Gebührenordnung festgesetzte,</w:t>
      </w:r>
    </w:p>
    <w:p>
      <w:r>
        <w:t xml:space="preserve">wiederkehrende Gebühren können dem Gebührentarif dieser</w:t>
      </w:r>
    </w:p>
    <w:p>
      <w:r>
        <w:t xml:space="preserve">Verordnung angepaßt werden.</w:t>
      </w:r>
    </w:p>
    <w:p>
      <w:r>
        <w:rPr>
          <w:color w:val="555555"/>
          <w:sz w:val="17"/>
        </w:rPr>
        <w:t xml:space="preserve">Zitiervorschlag: § 10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