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BSonGebV (Brandenburg) — Sondernutzungsgebühren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Sondernutzungen an Bundesfernstraßen mit</w:t>
      </w:r>
    </w:p>
    <w:p>
      <w:r>
        <w:t xml:space="preserve">Ausnahme der Ortsdurchfahrten werden Gebühren nach dieser Verordnung</w:t>
      </w:r>
    </w:p>
    <w:p>
      <w:r>
        <w:t xml:space="preserve">erhoben.</w:t>
      </w:r>
    </w:p>
    <w:p>
      <w:r>
        <w:rPr>
          <w:color w:val="555555"/>
          <w:sz w:val="17"/>
        </w:rPr>
        <w:t xml:space="preserve">Zitiervorschlag: § 1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