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BSeeSchG</w:t>
      </w:r>
    </w:p>
    <w:p>
      <w:r>
        <w:rPr>
          <w:color w:val="555555"/>
          <w:sz w:val="18"/>
        </w:rPr>
        <w:t xml:space="preserve">Seeaufgabengesetz</w:t>
      </w:r>
    </w:p>
    <w:p>
      <w:r>
        <w:rPr>
          <w:color w:val="555555"/>
          <w:sz w:val="18"/>
        </w:rPr>
        <w:t xml:space="preserve">Stand: 01.01.2025 (konsolidierte Textfassung, kein amtliches Inkrafttretensdatum)</w:t>
      </w:r>
    </w:p>
    <w:p>
      <w:r>
        <w:t xml:space="preserve">(1) Das Bundesministerium für Digitales und Verkehr wird ermächtigt, zur Abwehr von Gefahren für die Sicherheit und Leichtigkeit des Seeverkehrs, zur Abwehr von Gefahren für die Meeresumwelt, zur Verhütung von der Seeschifffahrt ausgehender schädlicher Umwelteinwirkungen im Sinne des Bundes-Immissionsschutzgesetzes und zur Gewährleistung eines sicheren, effizienten und gefahrlosen Schiffsbetriebs und zur Abwehr und Verhütung der vom Abwracken von Seeschiffen ausgehenden Gefahren und schädlichen Umwelteinwirkungen im Hinblick auf an Bord befindliche Gefahrstoffe und im Hinblick auf Tätigkeiten vor der Außerdienststellung eines Schiffes und dem Beginn der Abwrackarbeiten ohne Zustimmung des Bundesrates Rechtsverordnungen zu erlassen über</w:t>
      </w:r>
    </w:p>
    <w:p>
      <w:pPr>
        <w:ind w:left="420"/>
      </w:pPr>
      <w:r>
        <w:t xml:space="preserve">1. die Begrenzung der Binnenwasserstraßen, auf denen wegen ihrer Bedeutung für den Seeschiffsverkehr Internationale Regeln zur Verhütung von Zusammenstößen auf See ganz oder teilweise angewendet werden sollen;</w:t>
      </w:r>
    </w:p>
    <w:p>
      <w:pPr>
        <w:ind w:left="420"/>
      </w:pPr>
      <w:r>
        <w:t xml:space="preserve">2. das Verhalten auf Wasserflächen und in Häfen im Sinne des § 1 Nummer 2 und 3 einschließlich der Umsetzung von Empfehlungen internationaler Konferenzen über das Befahren innerer Gewässer;</w:t>
      </w:r>
    </w:p>
    <w:p>
      <w:pPr>
        <w:ind w:left="420"/>
      </w:pPr>
      <w:r>
        <w:t xml:space="preserve">2a. die Durchsetzung der Verpflichtung des eingetragenen Eigentümers eines Schiffes, das die Bundesflagge führt, zur Wrackbeseitigung nach dem Internationalen Übereinkommen von Nairobi von 2007 über die Beseitigung von Wracks (BGBl. 2013 II S. 530, 531);</w:t>
      </w:r>
    </w:p>
    <w:p>
      <w:pPr>
        <w:ind w:left="420"/>
      </w:pPr>
      <w:r>
        <w:t xml:space="preserve">3. die Anforderungen an die Besetzung von Seeschiffen einschließlich Traditionsschiffen und Sportfahrzeugen, die die Bundesflagge führen, die Verpflichtungen des Reeders und des Kapitäns für die Durchsetzung einer sicheren Schiffsbesetzung, die Erteilung und die Gültigkeit von Schiffsbesatzungszeugnissen für Kauffahrteischiffe sowie die Überwachung der Einhaltung der Schiffsbesetzungsvorschriften durch die zuständige Stelle;</w:t>
      </w:r>
    </w:p>
    <w:p>
      <w:pPr>
        <w:ind w:left="420"/>
      </w:pPr>
      <w:r>
        <w:t xml:space="preserve">3a. die Anforderungen an die Befähigung sowie die fachliche und persönliche Eignung der Besatzungsmitglieder der in Nummer 3 genannten Fahrzeuge einschließlich des Mindestalters der Bewerber, die Voraussetzungen für die Erteilung der Nachweise über Befähigungen im Schiffsdienst und der Fahrerlaubnisse für das Führen von Traditionsschiffen und Sportfahrzeugen, für die Anerkennung ausländischer Nachweise und die Maßnahmen zur Bekämpfung von Betrug und anderer rechtswidriger Praktiken im Zusammenhang mit diesen Nachweisen und die nach den völkerrechtlich verbindlichen Vorschriften über die Ausbildung und Befähigung von Seeleuten von den seefahrtbezogenen berufsbildenden Schulen, Fach- und Fachhochschulen zu erfüllenden Qualitätsnormen;</w:t>
      </w:r>
    </w:p>
    <w:p>
      <w:pPr>
        <w:ind w:left="420"/>
      </w:pPr>
      <w:r>
        <w:t xml:space="preserve">3b. Art und Weise der Überprüfung der Befähigung und Eignung, insbesondere durch die Abnahme von Prüfungen, sowie das Verfahren;</w:t>
      </w:r>
    </w:p>
    <w:p>
      <w:pPr>
        <w:ind w:left="420"/>
      </w:pPr>
      <w:r>
        <w:t xml:space="preserve">3c. die Voraussetzungen und das Verfahren, nach denen Nachweise über Befähigungen im Schiffsdienst und Fahrerlaubnisse für das Führen von Traditionsschiffen und Sportfahrzeugen erteilt, entzogen oder deren Ruhen angeordnet, Fahrverbote erteilt und entsprechende Urkunden vorläufig sichergestellt oder eingezogen werden können;</w:t>
      </w:r>
    </w:p>
    <w:p>
      <w:pPr>
        <w:ind w:left="420"/>
      </w:pPr>
      <w:r>
        <w:t xml:space="preserve">3d. die Anforderungen an die Erteilung eines Nachweises über die Zugehörigkeit zu der Berufsgruppe der Seeleute;</w:t>
      </w:r>
    </w:p>
    <w:p>
      <w:pPr>
        <w:ind w:left="420"/>
      </w:pPr>
      <w:r>
        <w:t xml:space="preserve">4. die Zulassung, Überwachung, die Anforderungen, Bewilligungen, Prüfungen, Abnahmen, Regulierungen, Kompensierungen, Festlegungen, Erlaubnisse, Zeugnisse und Bescheinigungen im Sinne des § 1 Nummer 4 einschließlich der betrieblichen Abläufe und organisatorischen Vorkehrungen an Bord und an Land zur Gewährleistung eines sicheren Schiffsbetriebs;</w:t>
      </w:r>
    </w:p>
    <w:p>
      <w:pPr>
        <w:ind w:left="420"/>
      </w:pPr>
      <w:r>
        <w:t xml:space="preserve">4a. (weggefallen)</w:t>
      </w:r>
    </w:p>
    <w:p>
      <w:pPr>
        <w:ind w:left="420"/>
      </w:pPr>
      <w:r>
        <w:t xml:space="preserve">4b. die Anforderungen an sowie die Prüfung, Zulassung und Überwachung von Anlagen zur Behandlung von Ballastwasser und Sedimenten einschließlich der dafür erforderlichen Verfahrensbestimmungen;</w:t>
      </w:r>
    </w:p>
    <w:p>
      <w:pPr>
        <w:ind w:left="420"/>
      </w:pPr>
      <w:r>
        <w:t xml:space="preserve">4c. die Anforderungen an den Einbau oder die Verwendung von Gefahrstoffen auf Schiffen, die Voraussetzungen für das Ausstellen von Bescheinigungen oder Zeugnissen und das Überprüfen von Seeschiffen in Bezug auf das Abwracken von Schiffen;</w:t>
      </w:r>
    </w:p>
    <w:p>
      <w:pPr>
        <w:ind w:left="420"/>
      </w:pPr>
      <w:r>
        <w:t xml:space="preserve">5. die Anforderungen für die Beförderung von Gütern, mit Ausnahme von Anforderungen im Sinne des Gesetzes über die Beförderung gefährlicher Güter;</w:t>
      </w:r>
    </w:p>
    <w:p>
      <w:pPr>
        <w:ind w:left="420"/>
      </w:pPr>
      <w:r>
        <w:t xml:space="preserve">6. die von den Schiffsführern und sonstigen für den Schiffsbetrieb Verantwortlichen zu erstattenden Meldungen;</w:t>
      </w:r>
    </w:p>
    <w:p>
      <w:pPr>
        <w:ind w:left="420"/>
      </w:pPr>
      <w:r>
        <w:t xml:space="preserve">7. die innerstaatliche Inkraftsetzung und Ausführung sonstiger Regelungen auf Grund von Änderungen und im Rahmen der Ziele des Internationalen Übereinkommens von 1974 zum Schutz des menschlichen Lebens auf See (BGBl. 1979 II S. 141) und des Protokolls von 1988 zu diesem Übereinkommen in ihrer jeweiligen Fassung unter Einschluss der Regelungen über die Abwehr äußerer Gefahren für die Schifffahrt.</w:t>
      </w:r>
    </w:p>
    <w:p>
      <w:r>
        <w:t xml:space="preserve">Die Rechtsverordnungen nach Satz 1 Nummer 3 bis 7 können, soweit sie vom Bund auszuführen sind, unbeschadet des § 5 Absatz 2 und des § 6 Absatz 2, die für die Ausführung zuständigen Stellen sowie die zur ordnungsgemäßen Durchführung erforderlichen unterstützenden weiteren Stellen bestimmen, insbesondere festlegen, durch welche Maßnahmen, auch im Rahmen der Erfüllung internationaler Übereinkommen, die zur Unterstützung bestimmten Stellen mitwirken, sowie Regelungen treffen, wie die Erfüllung der Anforderungen und Voraussetzungen für die Erteilung der Erlaubnisse, Zeugnisse und Bescheinigungen im Sinne des § 1 Nummer 4 oder Nummer 4c nachzuweisen ist. Die Rechtsverordnungen nach Satz 1 Nummer 4 können ferner die Sicherheitsvoraussetzungen festlegen, unter denen für bestimmte in § 1 Nummer 4 genannte Angelegenheiten Organisationen, sonstige Sachverständige oder sachkundige Personen oder Einrichtungen des privaten Rechts, die Überprüfungen oder Besichtigungen im Auftrag eines Schiffseigentümers durchführen, anerkannt und zur Durchführung zugelassen werden. Soweit sich die Verordnung nach Satz 1 Nummer 7 auf Maßnahmen zur Abwehr äußerer Gefahren für den Schiffsverkehr bezieht, ist sie im Einvernehmen mit dem Bundesministerium des Innern und für Heimat zu erlassen.</w:t>
      </w:r>
    </w:p>
    <w:p>
      <w:r>
        <w:t xml:space="preserve">(1a) (weggefallen)</w:t>
      </w:r>
    </w:p>
    <w:p>
      <w:r>
        <w:t xml:space="preserve">(2) Vorschriften nach Absatz 1 Satz 1 Nummer 2 bis 7 können auch erlassen werden zur</w:t>
      </w:r>
    </w:p>
    <w:p>
      <w:pPr>
        <w:ind w:left="420"/>
      </w:pPr>
      <w:r>
        <w:t xml:space="preserve">1. Abwehr von Gefahren für die Meeresumwelt,</w:t>
      </w:r>
    </w:p>
    <w:p>
      <w:pPr>
        <w:ind w:left="420"/>
      </w:pPr>
      <w:r>
        <w:t xml:space="preserve">2. Verhütung von der Schifffahrt ausgehender schädlicher Umwelteinwirkungen im Sinne des Bundes-Immissionsschutzgesetzes; dabei können Emissionsgrenzwerte unter Berücksichtigung der technischen Entwicklung auch für einen Zeitpunkt nach Inkrafttreten der Rechtsverordnung festgesetzt werden.</w:t>
      </w:r>
    </w:p>
    <w:p>
      <w:r>
        <w:t xml:space="preserve">Rechtsverordnungen nach Satz 1 Nummer 2 werden vom Bundesministerium für Digitales und Verkehr und vom Bundesministerium für Umwelt, Naturschutz, nukleare Sicherheit und Verbraucherschutz erlassen. Rechtsverordnungen nach Absatz 1 Satz 1 Nummer 3, 3a, 3b und 3c werden im Einvernehmen mit dem Bundesministerium für Arbeit und Soziales und, soweit Belange der Seefischerei betroffen sind, im Einvernehmen mit dem Bundesministerium für Ernährung und Landwirtschaft erlassen. Satz 3 gilt nicht, soweit die Rechtsverordnungen ausschließlich Regelungen im Hinblick auf Traditionsschiffe und Sportfahrzeuge treffen.</w:t>
      </w:r>
    </w:p>
    <w:p>
      <w:r>
        <w:t xml:space="preserve">(3) Das Bundesministerium für Digitales und Verkehr wird ermächtigt, durch Rechtsverordnung zu bestimmen,</w:t>
      </w:r>
    </w:p>
    <w:p>
      <w:pPr>
        <w:ind w:left="420"/>
      </w:pPr>
      <w:r>
        <w:t xml:space="preserve">1. auf welchen Schiffen und in welchen Fahrtgebieten Tagebücher zu führen sind,</w:t>
      </w:r>
    </w:p>
    <w:p>
      <w:pPr>
        <w:ind w:left="420"/>
      </w:pPr>
      <w:r>
        <w:t xml:space="preserve">2. welche für die Sicherheit der Seeschifffahrt, die Abwehr von Gefahren für die Meeresumwelt oder die Strafrechtspflege bedeutungsvollen Tatsachen einzutragen sind,</w:t>
      </w:r>
    </w:p>
    <w:p>
      <w:pPr>
        <w:ind w:left="420"/>
      </w:pPr>
      <w:r>
        <w:t xml:space="preserve">3. wie und von wem</w:t>
      </w:r>
    </w:p>
    <w:p>
      <w:pPr>
        <w:ind w:left="780"/>
      </w:pPr>
      <w:r>
        <w:t xml:space="preserve">a) die Bücher zu führen sind,</w:t>
      </w:r>
    </w:p>
    <w:p>
      <w:pPr>
        <w:ind w:left="780"/>
      </w:pPr>
      <w:r>
        <w:t xml:space="preserve">b) die Einhaltung der Vorschriften zu überwachen ist.</w:t>
      </w:r>
    </w:p>
    <w:p>
      <w:r>
        <w:t xml:space="preserve">(4) Das Bundesministerium für Digitales und Verkehr wird ermächtigt, zur Förderung der deutschen Handelsflotte im allgemeinen deutschen Interesse im Sinne des § 1 Nummer 1 durch Rechtsverordnung Maßnahmen zur Abwehr von Nachteilen für die Freiheit der wirtschaftlichen Betätigung der deutschen Schifffahrt zu regeln. Es kann hierzu insbesondere die Durchführung von Beförderungen zwischen zwei Punkten im deutschen Hoheitsgebiet mit einem Schiff unter ausländischer Flagge, das nicht die Flagge eines Mitgliedstaates der Europäischen Union oder eines Vertragsstaates des Europäischen Wirtschaftsraums führt, von der Zustimmung der Generaldirektion Wasserstraßen und Schifffahrt abhängig machen.</w:t>
      </w:r>
    </w:p>
    <w:p>
      <w:r>
        <w:t xml:space="preserve">(4a) Das Bundesministerium für Digitales und Verkehr wird ermächtigt, im Einvernehmen mit dem Auswärtigen Amt auf der Grundlage der internationalen Zusammenarbeit durch Rechtsverordnung die Flaggenstaaten zu bezeichnen, die im Sinne des Artikels 228 Absatz 1 Satz 1 des Seerechtsübereinkommens der Vereinten Nationen vom 10. Dezember 1982 wiederholt ihre Verpflichtung missachtet haben, die anwendbaren internationalen Regeln und Normen in Bezug auf die von ihren Schiffen begangenen Verstöße wirksam durchzusetzen.</w:t>
      </w:r>
    </w:p>
    <w:p>
      <w:r>
        <w:t xml:space="preserve">(5) Die Ermächtigungen nach Absatz 1 Nummer 3 bis 7 und Absatz 3 erstrecken sich nicht auf den Erlass von Vorschriften für die Schiffe der Bundeswehr. Die Ermächtigung nach Absatz 1 Nummer 4 erstreckt sich ferner nicht auf den Erlass von Vorschriften, die überwachungsbedürftige Anlagen im Sinne des § 2 Nummer 1 des Gesetzes über überwachungsbedürftige Anlagen zum Gegenstand haben.</w:t>
      </w:r>
    </w:p>
    <w:p>
      <w:r>
        <w:t xml:space="preserve">(6) Das Bundesministerium für Digitales und Verkehr kann durch Rechtsverordnung die Ermächtigungen nach Absatz 1 Nummer 1 und 2 auf die Generaldirektion Wasserstraßen und Schifffahrt oder das Bundesamt für Seeschifffahrt und Hydrographie übertragen.</w:t>
      </w:r>
    </w:p>
    <w:p>
      <w:r>
        <w:rPr>
          <w:color w:val="555555"/>
          <w:sz w:val="17"/>
        </w:rPr>
        <w:t xml:space="preserve">Zitiervorschlag: § 9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