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BSeeSchG</w:t>
      </w:r>
    </w:p>
    <w:p>
      <w:r>
        <w:rPr>
          <w:color w:val="555555"/>
          <w:sz w:val="18"/>
        </w:rPr>
        <w:t xml:space="preserve">Seeaufgabengesetz</w:t>
      </w:r>
    </w:p>
    <w:p>
      <w:r>
        <w:rPr>
          <w:color w:val="555555"/>
          <w:sz w:val="18"/>
        </w:rPr>
        <w:t xml:space="preserve">Stand: 21.12.2021 (konsolidierte Textfassung, kein amtliches Inkrafttretensdatum)</w:t>
      </w:r>
    </w:p>
    <w:p>
      <w:r>
        <w:t xml:space="preserve">(1) Soweit es zur Durchführung der Aufgaben nach § 1 Nummer 1 bis 6, 6b und 7a, 13 und 16 sowie nach § 2 erforderlich ist, können die damit betrauten Personen</w:t>
      </w:r>
    </w:p>
    <w:p>
      <w:pPr>
        <w:ind w:left="420"/>
      </w:pPr>
      <w:r>
        <w:t xml:space="preserve">1. Wasserfahrzeuge anhalten und die auf ihnen befindlichen Betriebs-, Geschäfts- und Wohnräume betreten,</w:t>
      </w:r>
    </w:p>
    <w:p>
      <w:pPr>
        <w:ind w:left="420"/>
      </w:pPr>
      <w:r>
        <w:t xml:space="preserve">2. die zur Herstellung von Schiffsausrüstung dienenden Betriebs- und Geschäftsräume betreten,</w:t>
      </w:r>
    </w:p>
    <w:p>
      <w:pPr>
        <w:ind w:left="420"/>
      </w:pPr>
      <w:r>
        <w:t xml:space="preserve">3. Betriebs- und Geschäftsräume des Eigentümers eines Wasserfahrzeugs, des sonst für dieses oder bestimmte Aufgaben seines Betriebes Verantwortlichen sowie der tätig gewordenen anerkannten Organisationen betreten,</w:t>
      </w:r>
    </w:p>
    <w:p>
      <w:pPr>
        <w:ind w:left="420"/>
      </w:pPr>
      <w:r>
        <w:t xml:space="preserve">4. Hafenanlagen mit Ausnahme der dort gelegenen Räumlichkeiten betreten und</w:t>
      </w:r>
    </w:p>
    <w:p>
      <w:pPr>
        <w:ind w:left="420"/>
      </w:pPr>
      <w:r>
        <w:t xml:space="preserve">5. Kontrollen und Prüfungen vornehmen.</w:t>
      </w:r>
    </w:p>
    <w:p>
      <w:r>
        <w:t xml:space="preserve">Außerhalb der Betriebs- und Geschäftszeiten und hinsichtlich der Wohnräume dürfen diese Befugnisse nur zur Verhütung dringender Gefahren für die öffentliche Sicherheit und Ordnung ausgeübt werden. Das Grundrecht der Unverletzlichkeit der Wohnung (Artikel 13 des Grundgesetzes) wird insoweit eingeschränkt.</w:t>
      </w:r>
    </w:p>
    <w:p>
      <w:r>
        <w:t xml:space="preserve">(1a) Die mit der Durchführung der Aufgabe nach § 1 Nummer 2 betrauten Personen dürfen Wasserfahrzeuge zur Verkehrskontrolle einschließlich der Kontrolle der Verkehrstüchtigkeit anhalten und deren Betriebs- und Geschäftsräume betreten. Absatz 1 Satz 2 gilt entsprechend.</w:t>
      </w:r>
    </w:p>
    <w:p>
      <w:r>
        <w:t xml:space="preserve">(2) Der Eigentümer und der Führer eines Wasserfahrzeugs und der sonst für ein Wasserfahrzeug oder bestimmte Aufgaben seines Betriebes Verantwortliche sowie der Hersteller der von Schiffsausrüstung sind verpflichtet, den mit der Überwachung betrauten Personen die Maßnahmen nach Absatz 1 oder Absatz 1a zu gestatten, die bei der Überprüfung benötigten Arbeitskräfte und Hilfsmittel bereitzustellen sowie auf Verlangen die Auskünfte zu erteilen und die Unterlagen oder Auszüge aus elektronischen Dateien auszudrucken und vorzulegen und Einsicht in die Unterlagen, insbesondere Seetagebücher, Register, Zeugnisse, Nachweise und Befähigungszeugnisse, zu gewähren, die zur Erfüllung der genannten Aufgaben erforderlich sind. Die mit der Überwachung betrauten Personen können Abschriften, Auszüge, Ausdrucke oder Kopien, auch von Datenträgern, anfertigen oder solche verlangen und diese verwenden und speichern, soweit dies zur Erfüllung der Aufgaben erforderlich ist.</w:t>
      </w:r>
    </w:p>
    <w:p>
      <w:r>
        <w:t xml:space="preserve">(3) Bei Durchführung der Aufgaben nach § 1 Nummer 3 Buchstabe a bis d dürfen nur Schiffe oder Luftfahrzeuge eingesetzt werden, die deutlich als im Staatsdienst stehend gekennzeichnet und als solche erkennbar sind.</w:t>
      </w:r>
    </w:p>
    <w:p>
      <w:r>
        <w:t xml:space="preserve">(4) Der nach Absatz 2 Verpflichtete kann die Auskunft auf solche Fragen verweigern, deren Beantwortung ihn selbst oder einen der in § 383 Absatz 1 Nummer 1 bis 3 der Zivilprozessordnung bezeichneten Angehörigen der Gefahr strafrechtlicher Verfolgung oder eines Verfahrens nach dem Gesetz über Ordnungswidrigkeiten aussetzen würde.</w:t>
      </w:r>
    </w:p>
    <w:p>
      <w:r>
        <w:rPr>
          <w:color w:val="555555"/>
          <w:sz w:val="17"/>
        </w:rPr>
        <w:t xml:space="preserve">Zitiervorschlag: § 8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