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Das Bundesministerium für Digitales und Verkehr kann zur Erfüllung von Aufgaben nach § 1 Nummer 4 und § 2 juristischen Personen des privaten Rechts, die nach ihrer Satzung entsprechenden Zwecken dienen, durch Rechtsverordnung ohne Zustimmung des Bundesrates die Anerkennung der Schiffe und die Überwachung der Bordausbildung im Sinne des § 2 Absatz 1 Satz 2, die Abnahme von Prüfungen, die Erteilung von Befähigungszeugnissen für Schiffsleute und Führer von Sportfahrzeugen sowie die Prüfung der Verkehrs- und Betriebssicherheit von Schiffen, die die Bundesflagge führen und die nicht internationalen Sicherheitsregelungen im Sinne des Schiffssicherheitsgesetzes unterliegen, die Erteilung der entsprechenden Erlaubnisse, Zeugnisse, Bescheinigungen und die Erhebung der Kosten nach Maßgabe des § 12 und der auf Grund des § 12 Absatz 2 erlassenen Verordnung ganz oder teilweise übertragen. Das Bundesministerium für Digitales und Verkehr kann ferner durch Rechtsverordnung die Erfüllung der Aufgaben nach § 1 Nummer 12, soweit sie sich auf nicht amtlich registrierte Seeschiffe beziehen, auf die in Satz 1 genannten Personen übertragen.</w:t>
      </w:r>
    </w:p>
    <w:p>
      <w:r>
        <w:t xml:space="preserve">(2) Die juristischen Personen unterstehen, soweit von den Ermächtigungen des Absatzes 1 Gebrauch gemacht worden ist, der Fachaufsicht des Bundesministeriums für Digitales und Verkehr.</w:t>
      </w:r>
    </w:p>
    <w:p>
      <w:r>
        <w:rPr>
          <w:color w:val="555555"/>
          <w:sz w:val="17"/>
        </w:rPr>
        <w:t xml:space="preserve">Zitiervorschlag: § 7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