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Verfolgung von Straftaten und Ordnungswidrigkeiten, die auf Grund von Vorschriften begangen worden sind, die in den Vollzug des Bundes nach § 1 Nummer 3 fallen, gelten die Vorschriften der Strafprozessordnung und des Gesetzes über Ordnungswidrigkeiten entsprechend.</w:t>
      </w:r>
    </w:p>
    <w:p>
      <w:r>
        <w:t xml:space="preserve">(2) Soweit Behörden und Beamte des Bundes die Aufgaben nach § 1 Nummer 3 Buchstabe d Doppelbuchstabe aa wahrnehmen, haben sie die Rechte und Pflichten der Behörden und Beamten des Polizeidienstes nach dem Gesetz über Ordnungswidrigkeiten.</w:t>
      </w:r>
    </w:p>
    <w:p>
      <w:r>
        <w:rPr>
          <w:color w:val="555555"/>
          <w:sz w:val="17"/>
        </w:rPr>
        <w:t xml:space="preserve">Zitiervorschlag: § 4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