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3d BSeeSchG</w:t>
      </w:r>
    </w:p>
    <w:p>
      <w:r>
        <w:rPr>
          <w:color w:val="555555"/>
          <w:sz w:val="18"/>
        </w:rPr>
        <w:t xml:space="preserve">Seeaufgabengesetz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Rahmen der Aufgaben nach § 1 Nummer 3 Buchstabe a und b und Nummer 10a gelten die Vorschriften des Verwaltungsverfahrensgesetzes und des Verwaltungsvollstreckungsgesetzes sowie des Gesetzes über den unmittelbaren Zwang bei Ausübung öffentlicher Gewalt durch Vollzugsbeamte des Bundes entsprechend.</w:t>
      </w:r>
    </w:p>
    <w:p>
      <w:r>
        <w:rPr>
          <w:color w:val="555555"/>
          <w:sz w:val="17"/>
        </w:rPr>
        <w:t xml:space="preserve">Zitiervorschlag: § 3d BSeeSchG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https://recht.nulegal.eu/gesetze/BSeeSchG/3d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