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BSeeSchG</w:t>
      </w:r>
    </w:p>
    <w:p>
      <w:r>
        <w:rPr>
          <w:color w:val="555555"/>
          <w:sz w:val="18"/>
        </w:rPr>
        <w:t xml:space="preserve">Seeaufgabengesetz</w:t>
      </w:r>
    </w:p>
    <w:p>
      <w:r>
        <w:rPr>
          <w:color w:val="555555"/>
          <w:sz w:val="18"/>
        </w:rPr>
        <w:t xml:space="preserve">Stand: 21.03.2023 (konsolidierte Textfassung, kein amtliches Inkrafttretensdatum)</w:t>
      </w:r>
    </w:p>
    <w:p>
      <w:r>
        <w:t xml:space="preserve">Das Bundesministerium für Digitales und Verkehr kann durch allgemeine Verwaltungsvorschriften das Nähere zur einheitlichen Anwendung der Vorschriften dieses Gesetzes oder der auf Grund dieses Gesetzes erlassenen Rechtsverordnungen durch seine nachgeordneten Behörden oder die von ihm beliehenen juristischen Personen regeln.</w:t>
      </w:r>
    </w:p>
    <w:p>
      <w:r>
        <w:rPr>
          <w:color w:val="555555"/>
          <w:sz w:val="17"/>
        </w:rPr>
        <w:t xml:space="preserve">Zitiervorschlag: § 22 BSeeSchG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https://recht.nulegal.eu/gesetze/BSeeSchG/22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