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der körperlichen Unversehrtheit (Artikel 2 Absatz 2 Satz 1 des Grundgesetzes), der Freiheit der Person (Artikel 2 Absatz 2 Satz 2 des Grundgesetzes), des Brief-, Post- und Fernmeldegeheimnisses (Artikel 10 Absatz 1 des Grundgesetzes) und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21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