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BSeeSchG</w:t>
      </w:r>
    </w:p>
    <w:p>
      <w:r>
        <w:rPr>
          <w:color w:val="555555"/>
          <w:sz w:val="18"/>
        </w:rPr>
        <w:t xml:space="preserve">Seeaufgabengesetz</w:t>
      </w:r>
    </w:p>
    <w:p>
      <w:r>
        <w:rPr>
          <w:color w:val="555555"/>
          <w:sz w:val="18"/>
        </w:rPr>
        <w:t xml:space="preserve">Stand: 10.06.2019 (konsolidierte Textfassung, kein amtliches Inkrafttretensdatum)</w:t>
      </w:r>
    </w:p>
    <w:p>
      <w:r>
        <w:t xml:space="preserve">(1) Die seefahrtbezogenen berufsbildenden Schulen, Fach- und Fachhochschulen sind Einrichtungen der Länder. Die Anerkennung der Schiffe, die für die Ausbildung von Besatzungsmitgliedern durch andere Einrichtungen als die dem Recht der Länder unterliegenden geeignet sind, sowie die Überwachung dieser Ausbildung an Bord obliegen dem Bund.</w:t>
      </w:r>
    </w:p>
    <w:p>
      <w:r>
        <w:t xml:space="preserve">(2) Die Überprüfung der Eignung und Befähigung der Bewerber um Bordstellungen als Kapitän oder weiteres Besatzungsmitglied ist Aufgabe des Bundes. Sie erfolgt im Rahmen der Erteilung oder der Verlängerung der Gültigkeitsdauer deutscher Befähigungszeugnisse, der Anerkennung gültiger ausländischer Befähigungszeugnisse, der Erteilung von Befähigungsnachweisen und sonstigen Qualifikationsbescheinigungen sowie der Feststellung hinsichtlich erforderlicher Lehrgänge oder Tests, die auf Tätigkeiten des Schiffsdienstes bezogen sind (Nachweise über Befähigungen im Schiffsdienst).</w:t>
      </w:r>
    </w:p>
    <w:p>
      <w:r>
        <w:t xml:space="preserve">(3) Der Bund kann bei Bedarf für Aufgaben im Sinne des Absatzes 2 von den Ländern benannte Behörden der Landesverwaltung als Organ durch Verwaltungsvereinbarung entleihen. Einzelheiten sind in den Verwaltungsvereinbarungen mit dem jeweiligen Land zu regeln. Diese Vereinbarungen sind im Bundesanzeiger bekannt zu machen.</w:t>
      </w:r>
    </w:p>
    <w:p>
      <w:r>
        <w:t xml:space="preserve">(4) Die Überprüfung der Eignung und Befähigung der Führer von Traditionsschiffen und Sportfahrzeugen ist Aufgabe des Bundes.</w:t>
      </w:r>
    </w:p>
    <w:p>
      <w:r>
        <w:rPr>
          <w:color w:val="555555"/>
          <w:sz w:val="17"/>
        </w:rPr>
        <w:t xml:space="preserve">Zitiervorschlag: § 2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