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BSeeSchG</w:t>
      </w:r>
    </w:p>
    <w:p>
      <w:r>
        <w:rPr>
          <w:color w:val="555555"/>
          <w:sz w:val="18"/>
        </w:rPr>
        <w:t xml:space="preserve">Seeaufgabengesetz</w:t>
      </w:r>
    </w:p>
    <w:p>
      <w:r>
        <w:rPr>
          <w:color w:val="555555"/>
          <w:sz w:val="18"/>
        </w:rPr>
        <w:t xml:space="preserve">Stand: 21.03.2023 (konsolidierte Textfassung, kein amtliches Inkrafttretensdatum)</w:t>
      </w:r>
    </w:p>
    <w:p>
      <w:r>
        <w:t xml:space="preserve">Das Bundesministerium für Digitales und Verkehr wird ermächtigt, durch Rechtsverordnung die Übermittlung von Unterlagen, die sich auf das Schifffahrtsgeschäft beziehen (insbesondere Verträge, Protokolle, Briefe, Studien, Marktberichte, Statistiken, Gutachten) und die Erteilung von Auskünften hierüber an Behörden und sonstige Stellen des Auslandes zu verbieten oder von einer Genehmigung abhängig zu machen, soweit dies erforderlich ist, um die deutsche Seeschifffahrt in der Freiheit ihrer wirtschaftlichen Betätigung zu schützen.</w:t>
      </w:r>
    </w:p>
    <w:p>
      <w:r>
        <w:rPr>
          <w:color w:val="555555"/>
          <w:sz w:val="17"/>
        </w:rPr>
        <w:t xml:space="preserve">Zitiervorschlag: § 11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