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BSchuWV</w:t>
      </w:r>
    </w:p>
    <w:p>
      <w:r>
        <w:rPr>
          <w:color w:val="555555"/>
          <w:sz w:val="18"/>
        </w:rPr>
        <w:t xml:space="preserve">Bundesschuldenwesenverordnung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 Abs. 1 Satz 1, auch in Verbindung mit § 2 Abs. 2 des Bundesschuldenwesengesetzes vom 12. Juli 2006 (BGBl. I S. 1466) verordnet das Bundesministerium der Finanzen:</w:t>
      </w:r>
    </w:p>
    <w:p>
      <w:r>
        <w:rPr>
          <w:color w:val="555555"/>
          <w:sz w:val="17"/>
        </w:rPr>
        <w:t xml:space="preserve">Zitiervorschlag: Eingangsformel BSchuWV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https://recht.nulegal.eu/gesetze/BSchuWV/eingangsformel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