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4k BSchuWG — Bekanntmachungen</w:t>
      </w:r>
    </w:p>
    <w:p>
      <w:r>
        <w:rPr>
          <w:color w:val="555555"/>
          <w:sz w:val="18"/>
        </w:rPr>
        <w:t xml:space="preserve">Bundesschuldenwesengesetz</w:t>
      </w:r>
    </w:p>
    <w:p>
      <w:r>
        <w:rPr>
          <w:color w:val="555555"/>
          <w:sz w:val="18"/>
        </w:rPr>
        <w:t xml:space="preserve">Stand: 14.08.2021 (konsolidierte Textfassung, kein amtliches Inkrafttretensdatum)</w:t>
      </w:r>
    </w:p>
    <w:p>
      <w:r>
        <w:t xml:space="preserve">Die Bekanntmachungen nach § 4b Absatz 7 Satz 2 und Absatz 9, § 4c Absatz 4, § 4d Absatz 2 Satz 2, § 4e Absatz 4 und § 4j erfolgen im Bundesanzeiger und im Internet unter der Adresse der Bundesrepublik Deutschland – Finanzagentur GmbH sowie durch die Deutsche Bundesbank.</w:t>
      </w:r>
    </w:p>
    <w:p>
      <w:r>
        <w:rPr>
          <w:color w:val="555555"/>
          <w:sz w:val="17"/>
        </w:rPr>
        <w:t xml:space="preserve">Zitiervorschlag: § 4k BSchuWG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https://recht.nulegal.eu/gesetze/BSchuWG/4k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