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4j BSchuWG — Wirksamkeit und Vollziehung von Beschlüssen</w:t>
      </w:r>
    </w:p>
    <w:p>
      <w:r>
        <w:rPr>
          <w:color w:val="555555"/>
          <w:sz w:val="18"/>
        </w:rPr>
        <w:t xml:space="preserve">Bundesschuldenwesengesetz</w:t>
      </w:r>
    </w:p>
    <w:p>
      <w:r>
        <w:rPr>
          <w:color w:val="555555"/>
          <w:sz w:val="18"/>
        </w:rPr>
        <w:t xml:space="preserve">Stand: 10.06.2019 (konsolidierte Textfassung, kein amtliches Inkrafttretensdatum)</w:t>
      </w:r>
    </w:p>
    <w:p>
      <w:r>
        <w:t xml:space="preserve">Beschlüsse der Gläubiger, durch welche der Inhalt der Emissionsbedingungen geändert oder ergänzt wird, werden erst wirksam, wenn sie vollzogen worden sind. Sie sind in der Weise zu vollziehen, dass die Emissionsbedingungen in ihrer geänderten oder ergänzten Fassung bekannt gemacht werden.</w:t>
      </w:r>
    </w:p>
    <w:p>
      <w:r>
        <w:rPr>
          <w:color w:val="555555"/>
          <w:sz w:val="17"/>
        </w:rPr>
        <w:t xml:space="preserve">Zitiervorschlag: § 4j BSchuWG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https://recht.nulegal.eu/gesetze/BSchuWG/4j</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