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4i BSchuWG — Anfechtung von Beschlüssen</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Ein Beschluss der Gläubiger kann wegen Verletzung des Gesetzes oder der Emissionsbedingungen durch Klage angefochten werden.</w:t>
      </w:r>
    </w:p>
    <w:p>
      <w:r>
        <w:t xml:space="preserve">(2) Die Klage ist binnen eines Monats nach der Bekanntmachung des Beschlusses zu erheben; § 4d Absatz 3 bleibt unberührt. Sie ist gegen die Bundesrepublik Deutschland zu richten. Zuständig für die Klage ist das Oberlandesgericht am Sitz der Deutschen Bundesbank. Die Vorschriften der Zivilprozessordnung über das Verfahren vor den Landgerichten im ersten Rechtszug sind entsprechend anzuwenden. Eine Entscheidung durch den Einzelrichter ist ausgeschlossen. Gegen die Entscheidung des Oberlandesgerichts findet die Revision nach Maßgabe des § 543 der Zivilprozessordnung statt; § 544 der Zivilprozessordnung ist entsprechend anzuwenden. Im Übrigen sind § 20 Absatz 1 Satz 2 und Absatz 2 des Schuldverschreibungsgesetzes sowie § 246 Absatz 3 Satz 4 bis 6 des Aktiengesetzes entsprechend anzuwenden.</w:t>
      </w:r>
    </w:p>
    <w:p>
      <w:r>
        <w:t xml:space="preserve">(3) Vor einer rechtskräftigen Entscheidung des Gerichts darf der angefochtene Beschluss nicht vollzogen werden, es sei denn, das nach Absatz 2 Satz 3 zuständige Gericht stellt auf Antrag der Bundesrepublik Deutschland nach Maßgabe des § 246a des Aktiengesetzes fest, dass die Erhebung der Klage dem Vollzug des angefochtenen Beschlusses nicht entgegensteht; § 246a Absatz 1 Satz 1 und 2, Absatz 2, 3 Satz 1 bis 4 und 6, Absatz 4 des Aktiengesetzes gilt entsprechend.</w:t>
      </w:r>
    </w:p>
    <w:p>
      <w:r>
        <w:rPr>
          <w:color w:val="555555"/>
          <w:sz w:val="17"/>
        </w:rPr>
        <w:t xml:space="preserve">Zitiervorschlag: § 4i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